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3DFBC" w14:textId="77777777" w:rsidR="009959E7" w:rsidRPr="00FD43FF" w:rsidRDefault="009959E7" w:rsidP="009959E7">
      <w:pPr>
        <w:pStyle w:val="xmsonormal"/>
        <w:rPr>
          <w:rFonts w:ascii="Century Schoolbook" w:hAnsi="Century Schoolbook"/>
        </w:rPr>
      </w:pPr>
      <w:r w:rsidRPr="00FD43FF">
        <w:rPr>
          <w:rFonts w:ascii="Century Schoolbook" w:hAnsi="Century Schoolbook"/>
        </w:rPr>
        <w:t xml:space="preserve">October </w:t>
      </w:r>
      <w:r w:rsidRPr="00FD43FF">
        <w:rPr>
          <w:rFonts w:ascii="Century Schoolbook" w:hAnsi="Century Schoolbook"/>
          <w:highlight w:val="yellow"/>
        </w:rPr>
        <w:t>X</w:t>
      </w:r>
      <w:r w:rsidRPr="00FD43FF">
        <w:rPr>
          <w:rFonts w:ascii="Century Schoolbook" w:hAnsi="Century Schoolbook"/>
        </w:rPr>
        <w:t>, 2021</w:t>
      </w:r>
    </w:p>
    <w:p w14:paraId="1F3AF881" w14:textId="77777777" w:rsidR="009959E7" w:rsidRPr="00FD43FF" w:rsidRDefault="009959E7" w:rsidP="009959E7">
      <w:pPr>
        <w:pStyle w:val="xmsonormal"/>
        <w:rPr>
          <w:rFonts w:ascii="Century Schoolbook" w:hAnsi="Century Schoolbook"/>
        </w:rPr>
      </w:pPr>
    </w:p>
    <w:p w14:paraId="345C3219" w14:textId="77777777" w:rsidR="009959E7" w:rsidRPr="00FD43FF" w:rsidRDefault="009959E7" w:rsidP="009959E7">
      <w:pPr>
        <w:pStyle w:val="xmsonormal"/>
        <w:rPr>
          <w:rFonts w:ascii="Century Schoolbook" w:hAnsi="Century Schoolbook"/>
        </w:rPr>
      </w:pPr>
    </w:p>
    <w:p w14:paraId="4FFABCA0" w14:textId="19BB2013" w:rsidR="009959E7" w:rsidRPr="00FD43FF" w:rsidRDefault="009959E7" w:rsidP="009959E7">
      <w:pPr>
        <w:pStyle w:val="xmsonormal"/>
        <w:rPr>
          <w:rFonts w:ascii="Century Schoolbook" w:hAnsi="Century Schoolbook"/>
        </w:rPr>
      </w:pPr>
      <w:r w:rsidRPr="00FD43FF">
        <w:rPr>
          <w:rFonts w:ascii="Century Schoolbook" w:hAnsi="Century Schoolbook"/>
        </w:rPr>
        <w:t>Centers for Medicare &amp; Medicaid Services</w:t>
      </w:r>
      <w:r w:rsidRPr="00FD43FF">
        <w:rPr>
          <w:rFonts w:ascii="Century Schoolbook" w:hAnsi="Century Schoolbook"/>
        </w:rPr>
        <w:br/>
        <w:t>Department of Health and Human Services</w:t>
      </w:r>
      <w:r w:rsidRPr="00FD43FF">
        <w:rPr>
          <w:rFonts w:ascii="Century Schoolbook" w:hAnsi="Century Schoolbook"/>
        </w:rPr>
        <w:br/>
        <w:t>RE: RIN 1210-AB00</w:t>
      </w:r>
      <w:r w:rsidRPr="00FD43FF">
        <w:rPr>
          <w:rFonts w:ascii="Century Schoolbook" w:hAnsi="Century Schoolbook"/>
        </w:rPr>
        <w:br/>
        <w:t>P.O. Box 8016</w:t>
      </w:r>
      <w:r w:rsidRPr="00FD43FF">
        <w:rPr>
          <w:rFonts w:ascii="Century Schoolbook" w:hAnsi="Century Schoolbook"/>
        </w:rPr>
        <w:br/>
        <w:t>Baltimore, MD 21244-8016</w:t>
      </w:r>
    </w:p>
    <w:p w14:paraId="61233445" w14:textId="77777777" w:rsidR="009959E7" w:rsidRPr="00FD43FF" w:rsidRDefault="009959E7" w:rsidP="009959E7">
      <w:pPr>
        <w:pStyle w:val="xmsonormal"/>
        <w:rPr>
          <w:rFonts w:ascii="Century Schoolbook" w:hAnsi="Century Schoolbook"/>
          <w:i/>
          <w:iCs/>
        </w:rPr>
      </w:pPr>
      <w:r w:rsidRPr="00FD43FF">
        <w:rPr>
          <w:rFonts w:ascii="Century Schoolbook" w:hAnsi="Century Schoolbook"/>
          <w:i/>
          <w:iCs/>
        </w:rPr>
        <w:t>Submitted Via Portal</w:t>
      </w:r>
      <w:r w:rsidRPr="00FD43FF">
        <w:rPr>
          <w:rStyle w:val="FootnoteReference"/>
          <w:rFonts w:ascii="Century Schoolbook" w:hAnsi="Century Schoolbook"/>
          <w:i/>
          <w:iCs/>
        </w:rPr>
        <w:footnoteReference w:id="1"/>
      </w:r>
    </w:p>
    <w:p w14:paraId="1E99155B" w14:textId="77777777" w:rsidR="009959E7" w:rsidRPr="00FD43FF" w:rsidRDefault="009959E7" w:rsidP="009959E7">
      <w:pPr>
        <w:rPr>
          <w:rFonts w:ascii="Century Schoolbook" w:hAnsi="Century Schoolbook"/>
        </w:rPr>
      </w:pPr>
    </w:p>
    <w:p w14:paraId="71D5192D" w14:textId="77777777" w:rsidR="009959E7" w:rsidRPr="00FD43FF" w:rsidRDefault="009959E7" w:rsidP="009959E7">
      <w:pPr>
        <w:rPr>
          <w:rFonts w:ascii="Century Schoolbook" w:hAnsi="Century Schoolbook"/>
        </w:rPr>
      </w:pPr>
      <w:r w:rsidRPr="00FD43FF">
        <w:rPr>
          <w:rFonts w:ascii="Century Schoolbook" w:hAnsi="Century Schoolbook"/>
          <w:highlight w:val="yellow"/>
        </w:rPr>
        <w:t>Dear Administrator Brooks-</w:t>
      </w:r>
      <w:proofErr w:type="spellStart"/>
      <w:r w:rsidRPr="00FD43FF">
        <w:rPr>
          <w:rFonts w:ascii="Century Schoolbook" w:hAnsi="Century Schoolbook"/>
          <w:highlight w:val="yellow"/>
        </w:rPr>
        <w:t>LaSure</w:t>
      </w:r>
      <w:proofErr w:type="spellEnd"/>
      <w:r w:rsidRPr="00FD43FF">
        <w:rPr>
          <w:rFonts w:ascii="Century Schoolbook" w:hAnsi="Century Schoolbook"/>
          <w:highlight w:val="yellow"/>
        </w:rPr>
        <w:t>,</w:t>
      </w:r>
    </w:p>
    <w:p w14:paraId="619DA134" w14:textId="27D592D1" w:rsidR="009959E7" w:rsidRPr="00FD43FF" w:rsidRDefault="009959E7" w:rsidP="009959E7">
      <w:pPr>
        <w:rPr>
          <w:rFonts w:ascii="Century Schoolbook" w:hAnsi="Century Schoolbook"/>
        </w:rPr>
      </w:pPr>
      <w:r w:rsidRPr="00FD43FF">
        <w:rPr>
          <w:rFonts w:ascii="Century Schoolbook" w:hAnsi="Century Schoolbook"/>
          <w:highlight w:val="yellow"/>
        </w:rPr>
        <w:t>[Health System]</w:t>
      </w:r>
      <w:r w:rsidRPr="00FD43FF">
        <w:rPr>
          <w:rFonts w:ascii="Century Schoolbook" w:hAnsi="Century Schoolbook"/>
        </w:rPr>
        <w:t xml:space="preserve"> thanks the United States Department of Health and Human Services (HHS) for the opportunity to engage in the decision-making process regarding its Interim Final Rule (hereinafter IFR or Rule) concerning Requirements Related to Surprise Billing; Part II.</w:t>
      </w:r>
      <w:r w:rsidRPr="00FD43FF">
        <w:rPr>
          <w:rStyle w:val="FootnoteReference"/>
          <w:rFonts w:ascii="Century Schoolbook" w:hAnsi="Century Schoolbook"/>
        </w:rPr>
        <w:footnoteReference w:id="2"/>
      </w:r>
      <w:r w:rsidRPr="00FD43FF">
        <w:rPr>
          <w:rFonts w:ascii="Century Schoolbook" w:hAnsi="Century Schoolbook"/>
        </w:rPr>
        <w:t xml:space="preserve">  </w:t>
      </w:r>
    </w:p>
    <w:p w14:paraId="773E3C7A" w14:textId="77777777" w:rsidR="009959E7" w:rsidRPr="00FD43FF" w:rsidRDefault="009959E7" w:rsidP="009959E7">
      <w:pPr>
        <w:rPr>
          <w:rFonts w:ascii="Century Schoolbook" w:hAnsi="Century Schoolbook"/>
        </w:rPr>
      </w:pPr>
      <w:r w:rsidRPr="00FD43FF">
        <w:rPr>
          <w:rFonts w:ascii="Century Schoolbook" w:hAnsi="Century Schoolbook"/>
          <w:highlight w:val="yellow"/>
        </w:rPr>
        <w:t>[Health-System name, mission, geographic area served.]</w:t>
      </w:r>
      <w:r w:rsidRPr="00FD43FF">
        <w:rPr>
          <w:rFonts w:ascii="Century Schoolbook" w:hAnsi="Century Schoolbook"/>
        </w:rPr>
        <w:t xml:space="preserve"> </w:t>
      </w:r>
    </w:p>
    <w:p w14:paraId="29A30670" w14:textId="7A410733" w:rsidR="009959E7" w:rsidRPr="00FD43FF" w:rsidRDefault="009959E7" w:rsidP="009959E7">
      <w:pPr>
        <w:rPr>
          <w:rFonts w:ascii="Century Schoolbook" w:hAnsi="Century Schoolbook"/>
        </w:rPr>
      </w:pPr>
      <w:r w:rsidRPr="00FD43FF">
        <w:rPr>
          <w:rFonts w:ascii="Century Schoolbook" w:hAnsi="Century Schoolbook"/>
          <w:highlight w:val="yellow"/>
        </w:rPr>
        <w:t>[Health System]</w:t>
      </w:r>
      <w:r w:rsidRPr="00FD43FF">
        <w:rPr>
          <w:rFonts w:ascii="Century Schoolbook" w:hAnsi="Century Schoolbook"/>
        </w:rPr>
        <w:t xml:space="preserve"> supports HHS’ continued efforts to help patients navigate the No Surprises Act and Transparency sections enacted under the Consolidated Appropriations Act (hereinafter referred to collectively as “Act” or “the Act”) </w:t>
      </w:r>
      <w:proofErr w:type="gramStart"/>
      <w:r w:rsidRPr="00FD43FF">
        <w:rPr>
          <w:rFonts w:ascii="Century Schoolbook" w:hAnsi="Century Schoolbook"/>
        </w:rPr>
        <w:t>and also</w:t>
      </w:r>
      <w:proofErr w:type="gramEnd"/>
      <w:r w:rsidRPr="00FD43FF">
        <w:rPr>
          <w:rFonts w:ascii="Century Schoolbook" w:hAnsi="Century Schoolbook"/>
        </w:rPr>
        <w:t xml:space="preserve"> clarify the myriad implications and requirements imposed upon healthcare providers and facilities (hereinafter collectively “providers”) by the insurance industry (hereinafter “health plans”).  However, in reviewing the proposed language, </w:t>
      </w:r>
      <w:r w:rsidRPr="00FD43FF">
        <w:rPr>
          <w:rFonts w:ascii="Century Schoolbook" w:hAnsi="Century Schoolbook"/>
          <w:highlight w:val="yellow"/>
        </w:rPr>
        <w:t>[Health System]</w:t>
      </w:r>
      <w:r w:rsidRPr="00FD43FF">
        <w:rPr>
          <w:rFonts w:ascii="Century Schoolbook" w:hAnsi="Century Schoolbook"/>
        </w:rPr>
        <w:t xml:space="preserve"> has noted several areas that would benefit from the perspective of those providing care to patients nationwide and who </w:t>
      </w:r>
      <w:r w:rsidR="001F3869" w:rsidRPr="00FD43FF">
        <w:rPr>
          <w:rFonts w:ascii="Century Schoolbook" w:hAnsi="Century Schoolbook"/>
        </w:rPr>
        <w:t xml:space="preserve">can provide real-world insight into </w:t>
      </w:r>
      <w:r w:rsidRPr="00FD43FF">
        <w:rPr>
          <w:rFonts w:ascii="Century Schoolbook" w:hAnsi="Century Schoolbook"/>
        </w:rPr>
        <w:t xml:space="preserve">the significant impact the </w:t>
      </w:r>
      <w:r w:rsidR="00041510" w:rsidRPr="00FD43FF">
        <w:rPr>
          <w:rFonts w:ascii="Century Schoolbook" w:hAnsi="Century Schoolbook"/>
        </w:rPr>
        <w:t>R</w:t>
      </w:r>
      <w:r w:rsidRPr="00FD43FF">
        <w:rPr>
          <w:rFonts w:ascii="Century Schoolbook" w:hAnsi="Century Schoolbook"/>
        </w:rPr>
        <w:t xml:space="preserve">ule, as currently written, will have on patients and providers.  Accordingly, we respectfully request that </w:t>
      </w:r>
      <w:r w:rsidR="00FD43FF" w:rsidRPr="00FD43FF">
        <w:rPr>
          <w:rFonts w:ascii="Century Schoolbook" w:hAnsi="Century Schoolbook"/>
        </w:rPr>
        <w:t xml:space="preserve">HHS </w:t>
      </w:r>
      <w:r w:rsidRPr="00FD43FF">
        <w:rPr>
          <w:rFonts w:ascii="Century Schoolbook" w:hAnsi="Century Schoolbook"/>
        </w:rPr>
        <w:t>incorporate the below suggestions to create an equitable Final Rule that more appropriately balances the interests and burdens of both providers and insurers.</w:t>
      </w:r>
    </w:p>
    <w:p w14:paraId="62AD4D5E" w14:textId="73576504" w:rsidR="009959E7" w:rsidRDefault="00FD43FF">
      <w:pPr>
        <w:rPr>
          <w:rFonts w:ascii="Century Schoolbook" w:hAnsi="Century Schoolbook"/>
        </w:rPr>
      </w:pPr>
      <w:r>
        <w:rPr>
          <w:rFonts w:ascii="Century Schoolbook" w:hAnsi="Century Schoolbook"/>
        </w:rPr>
        <w:t>As of this writing, health plans are currently billions behind in payments to providers.</w:t>
      </w:r>
      <w:r>
        <w:rPr>
          <w:rStyle w:val="FootnoteReference"/>
          <w:rFonts w:ascii="Century Schoolbook" w:hAnsi="Century Schoolbook"/>
        </w:rPr>
        <w:footnoteReference w:id="3"/>
      </w:r>
      <w:r>
        <w:rPr>
          <w:rFonts w:ascii="Century Schoolbook" w:hAnsi="Century Schoolbook"/>
        </w:rPr>
        <w:t xml:space="preserve">  Health plans have taken advantage of provider resources being occupied wholly by combating a global pandemic in COVID-19 </w:t>
      </w:r>
      <w:proofErr w:type="gramStart"/>
      <w:r>
        <w:rPr>
          <w:rFonts w:ascii="Century Schoolbook" w:hAnsi="Century Schoolbook"/>
        </w:rPr>
        <w:t>in order to</w:t>
      </w:r>
      <w:proofErr w:type="gramEnd"/>
      <w:r>
        <w:rPr>
          <w:rFonts w:ascii="Century Schoolbook" w:hAnsi="Century Schoolbook"/>
        </w:rPr>
        <w:t xml:space="preserve"> abuse the system.  There is also an unprecedented in retroactive denials when providers and patients are at their most vulnerable and rely on already strained resources to fight to obtain payment for care rendered to health plan members.  There are is little reason to expect health plans to meaningfully </w:t>
      </w:r>
      <w:proofErr w:type="gramStart"/>
      <w:r>
        <w:rPr>
          <w:rFonts w:ascii="Century Schoolbook" w:hAnsi="Century Schoolbook"/>
        </w:rPr>
        <w:t>enter into</w:t>
      </w:r>
      <w:proofErr w:type="gramEnd"/>
      <w:r>
        <w:rPr>
          <w:rFonts w:ascii="Century Schoolbook" w:hAnsi="Century Schoolbook"/>
        </w:rPr>
        <w:t xml:space="preserve"> the processes in the Rule in good faith.  The potential standard of requiring providers to expend additional resources in the hopes of receiving money owed by health plans in untenable and should be avoided at all costs.  We believe that the below comments would be a good start in rectifying some of the issues created by health plans that negatively affect this country’s providers and patients.</w:t>
      </w:r>
    </w:p>
    <w:p w14:paraId="54684C2C" w14:textId="01293897" w:rsidR="009959E7" w:rsidRPr="00FD43FF" w:rsidRDefault="009959E7">
      <w:pPr>
        <w:rPr>
          <w:rFonts w:ascii="Century Schoolbook" w:hAnsi="Century Schoolbook"/>
          <w:b/>
          <w:bCs/>
        </w:rPr>
      </w:pPr>
      <w:r w:rsidRPr="00FD43FF">
        <w:rPr>
          <w:rFonts w:ascii="Century Schoolbook" w:hAnsi="Century Schoolbook"/>
          <w:b/>
          <w:bCs/>
        </w:rPr>
        <w:lastRenderedPageBreak/>
        <w:t>Inaccessibility and Inequity of the Qualified Payment Amount Process</w:t>
      </w:r>
    </w:p>
    <w:p w14:paraId="22A361E8" w14:textId="5B16776C" w:rsidR="009959E7" w:rsidRPr="00FD43FF" w:rsidRDefault="009959E7" w:rsidP="009959E7">
      <w:pPr>
        <w:rPr>
          <w:rFonts w:ascii="Century Schoolbook" w:hAnsi="Century Schoolbook"/>
        </w:rPr>
      </w:pPr>
      <w:r w:rsidRPr="00FD43FF">
        <w:rPr>
          <w:rFonts w:ascii="Century Schoolbook" w:hAnsi="Century Schoolbook"/>
        </w:rPr>
        <w:t>As the Rule, in conjunction with the No Surprises Act (NSA) health plans have an in</w:t>
      </w:r>
      <w:r w:rsidR="00FD43FF" w:rsidRPr="00FD43FF">
        <w:rPr>
          <w:rFonts w:ascii="Century Schoolbook" w:hAnsi="Century Schoolbook"/>
        </w:rPr>
        <w:t>equitable</w:t>
      </w:r>
      <w:r w:rsidRPr="00FD43FF">
        <w:rPr>
          <w:rFonts w:ascii="Century Schoolbook" w:hAnsi="Century Schoolbook"/>
        </w:rPr>
        <w:t xml:space="preserve"> amount of control in creation of the Qualified Payment Amount (QPA).  </w:t>
      </w:r>
      <w:r w:rsidR="00FD43FF" w:rsidRPr="00FD43FF">
        <w:rPr>
          <w:rFonts w:ascii="Century Schoolbook" w:hAnsi="Century Schoolbook"/>
        </w:rPr>
        <w:t>One of the stated ways to determine t</w:t>
      </w:r>
      <w:r w:rsidRPr="00FD43FF">
        <w:rPr>
          <w:rFonts w:ascii="Century Schoolbook" w:hAnsi="Century Schoolbook"/>
        </w:rPr>
        <w:t xml:space="preserve">he QPA is based </w:t>
      </w:r>
      <w:proofErr w:type="gramStart"/>
      <w:r w:rsidRPr="00FD43FF">
        <w:rPr>
          <w:rFonts w:ascii="Century Schoolbook" w:hAnsi="Century Schoolbook"/>
        </w:rPr>
        <w:t>off of</w:t>
      </w:r>
      <w:proofErr w:type="gramEnd"/>
      <w:r w:rsidRPr="00FD43FF">
        <w:rPr>
          <w:rFonts w:ascii="Century Schoolbook" w:hAnsi="Century Schoolbook"/>
        </w:rPr>
        <w:t xml:space="preserve"> the median contracted amount for an item/service, but providers only have access to one data point, their own contract, whereas health plans will be able to access the entirety of data.  The total lack of transparency raises concerns for malfeasance by health plans that may not be discoverable until well after the QPA process has been tainted.</w:t>
      </w:r>
    </w:p>
    <w:p w14:paraId="46152C99" w14:textId="13144192" w:rsidR="009959E7" w:rsidRPr="00FD43FF" w:rsidRDefault="009959E7" w:rsidP="009959E7">
      <w:pPr>
        <w:rPr>
          <w:rFonts w:ascii="Century Schoolbook" w:hAnsi="Century Schoolbook"/>
        </w:rPr>
      </w:pPr>
      <w:r w:rsidRPr="00FD43FF">
        <w:rPr>
          <w:rFonts w:ascii="Century Schoolbook" w:hAnsi="Century Schoolbook"/>
        </w:rPr>
        <w:t xml:space="preserve">At a minimum, </w:t>
      </w:r>
      <w:r w:rsidR="00FD43FF" w:rsidRPr="00FD43FF">
        <w:rPr>
          <w:rFonts w:ascii="Century Schoolbook" w:hAnsi="Century Schoolbook"/>
        </w:rPr>
        <w:t>h</w:t>
      </w:r>
      <w:r w:rsidRPr="00FD43FF">
        <w:rPr>
          <w:rFonts w:ascii="Century Schoolbook" w:hAnsi="Century Schoolbook"/>
        </w:rPr>
        <w:t xml:space="preserve">ealth </w:t>
      </w:r>
      <w:r w:rsidR="00FD43FF" w:rsidRPr="00FD43FF">
        <w:rPr>
          <w:rFonts w:ascii="Century Schoolbook" w:hAnsi="Century Schoolbook"/>
        </w:rPr>
        <w:t>p</w:t>
      </w:r>
      <w:r w:rsidRPr="00FD43FF">
        <w:rPr>
          <w:rFonts w:ascii="Century Schoolbook" w:hAnsi="Century Schoolbook"/>
        </w:rPr>
        <w:t>lans should be required to disclose their contracted rates with all relevant providers, along with the corresponding size and type of facility.</w:t>
      </w:r>
      <w:r w:rsidR="00FD43FF" w:rsidRPr="00FD43FF">
        <w:rPr>
          <w:rFonts w:ascii="Century Schoolbook" w:hAnsi="Century Schoolbook"/>
        </w:rPr>
        <w:t xml:space="preserve">  Further, calculation methodology for payments should be required to be included on the payment remit.  Providers should also receive copies of the contracts relied upon by health plans annually so that they may validate good faith compliance by the health plans.</w:t>
      </w:r>
      <w:r w:rsidRPr="00FD43FF">
        <w:rPr>
          <w:rFonts w:ascii="Century Schoolbook" w:hAnsi="Century Schoolbook"/>
        </w:rPr>
        <w:t xml:space="preserve">  Otherwise, HHS is asking providers and their patients to rely wholly on health plans acting in good faith without any means to</w:t>
      </w:r>
      <w:r w:rsidR="00AE0F59" w:rsidRPr="00FD43FF">
        <w:rPr>
          <w:rFonts w:ascii="Century Schoolbook" w:hAnsi="Century Schoolbook"/>
        </w:rPr>
        <w:t xml:space="preserve"> validate the veracity of a plan’s calculations because of a lack transparency created by a failure of the Act to obligate plans to provide evidentiary support of their rates and </w:t>
      </w:r>
      <w:r w:rsidR="00FD43FF" w:rsidRPr="00FD43FF">
        <w:rPr>
          <w:rFonts w:ascii="Century Schoolbook" w:hAnsi="Century Schoolbook"/>
        </w:rPr>
        <w:t>methodology.</w:t>
      </w:r>
      <w:r w:rsidRPr="00FD43FF">
        <w:rPr>
          <w:rFonts w:ascii="Century Schoolbook" w:hAnsi="Century Schoolbook"/>
        </w:rPr>
        <w:t xml:space="preserve"> </w:t>
      </w:r>
    </w:p>
    <w:p w14:paraId="56B36D88" w14:textId="7DDC4AF2" w:rsidR="00FD43FF" w:rsidRPr="00FD43FF" w:rsidRDefault="009959E7" w:rsidP="009959E7">
      <w:pPr>
        <w:rPr>
          <w:rFonts w:ascii="Century Schoolbook" w:hAnsi="Century Schoolbook"/>
        </w:rPr>
      </w:pPr>
      <w:r w:rsidRPr="00FD43FF">
        <w:rPr>
          <w:rFonts w:ascii="Century Schoolbook" w:hAnsi="Century Schoolbook"/>
        </w:rPr>
        <w:t xml:space="preserve">This is an untenable situation, and </w:t>
      </w:r>
      <w:r w:rsidRPr="00FD43FF">
        <w:rPr>
          <w:rFonts w:ascii="Century Schoolbook" w:hAnsi="Century Schoolbook"/>
          <w:highlight w:val="yellow"/>
        </w:rPr>
        <w:t>[Health System]</w:t>
      </w:r>
      <w:r w:rsidRPr="00FD43FF">
        <w:rPr>
          <w:rFonts w:ascii="Century Schoolbook" w:hAnsi="Century Schoolbook"/>
        </w:rPr>
        <w:t xml:space="preserve"> requests that in addition to disclosure requirements, health plans be required to maintain an up-to-date database of contracted rates</w:t>
      </w:r>
      <w:r w:rsidR="00AE0F59" w:rsidRPr="00FD43FF">
        <w:rPr>
          <w:rFonts w:ascii="Century Schoolbook" w:hAnsi="Century Schoolbook"/>
        </w:rPr>
        <w:t xml:space="preserve"> broken out by geographic regions and provider types</w:t>
      </w:r>
      <w:r w:rsidRPr="00FD43FF">
        <w:rPr>
          <w:rFonts w:ascii="Century Schoolbook" w:hAnsi="Century Schoolbook"/>
        </w:rPr>
        <w:t xml:space="preserve"> that includes data for any contracts canceled or otherwise ended by </w:t>
      </w:r>
      <w:r w:rsidR="008B397B" w:rsidRPr="00FD43FF">
        <w:rPr>
          <w:rFonts w:ascii="Century Schoolbook" w:hAnsi="Century Schoolbook"/>
        </w:rPr>
        <w:t>a</w:t>
      </w:r>
      <w:r w:rsidRPr="00FD43FF">
        <w:rPr>
          <w:rFonts w:ascii="Century Schoolbook" w:hAnsi="Century Schoolbook"/>
        </w:rPr>
        <w:t xml:space="preserve"> health plan over the previous 10 years.  Such data would prevent health plans from artificially </w:t>
      </w:r>
      <w:r w:rsidR="00FD43FF" w:rsidRPr="00FD43FF">
        <w:rPr>
          <w:rFonts w:ascii="Century Schoolbook" w:hAnsi="Century Schoolbook"/>
        </w:rPr>
        <w:t>deflating QPAs</w:t>
      </w:r>
      <w:r w:rsidRPr="00FD43FF">
        <w:rPr>
          <w:rFonts w:ascii="Century Schoolbook" w:hAnsi="Century Schoolbook"/>
        </w:rPr>
        <w:t xml:space="preserve"> by exiting all but their most lopsided contracts, usually those taking advantage of regional and rural hospitals with vulnerable patient populations.</w:t>
      </w:r>
      <w:r w:rsidR="00FD43FF" w:rsidRPr="00FD43FF">
        <w:rPr>
          <w:rFonts w:ascii="Century Schoolbook" w:hAnsi="Century Schoolbook"/>
        </w:rPr>
        <w:t xml:space="preserve">  Implementing this process as is would allow health plans to game the process all the way through the IDR with impunity and distort the intention of the NSA.</w:t>
      </w:r>
    </w:p>
    <w:p w14:paraId="48F85948" w14:textId="77777777" w:rsidR="009959E7" w:rsidRPr="00FD43FF" w:rsidRDefault="009959E7" w:rsidP="009959E7">
      <w:pPr>
        <w:rPr>
          <w:rFonts w:ascii="Century Schoolbook" w:hAnsi="Century Schoolbook"/>
        </w:rPr>
      </w:pPr>
    </w:p>
    <w:p w14:paraId="66AA9A4B" w14:textId="248C752B" w:rsidR="009959E7" w:rsidRPr="00FD43FF" w:rsidRDefault="009959E7">
      <w:pPr>
        <w:rPr>
          <w:rFonts w:ascii="Century Schoolbook" w:hAnsi="Century Schoolbook"/>
          <w:b/>
          <w:bCs/>
        </w:rPr>
      </w:pPr>
      <w:r w:rsidRPr="00FD43FF">
        <w:rPr>
          <w:rFonts w:ascii="Century Schoolbook" w:hAnsi="Century Schoolbook"/>
          <w:b/>
          <w:bCs/>
        </w:rPr>
        <w:t>Lack of Interest Provision on IDR Late Payments</w:t>
      </w:r>
    </w:p>
    <w:p w14:paraId="3B77BB4D" w14:textId="1AD07B17" w:rsidR="009959E7" w:rsidRPr="00FD43FF" w:rsidRDefault="00760BED">
      <w:pPr>
        <w:rPr>
          <w:rFonts w:ascii="Century Schoolbook" w:hAnsi="Century Schoolbook"/>
        </w:rPr>
      </w:pPr>
      <w:r w:rsidRPr="00FD43FF">
        <w:rPr>
          <w:rFonts w:ascii="Century Schoolbook" w:hAnsi="Century Schoolbook"/>
        </w:rPr>
        <w:t xml:space="preserve">While the Rule requires payments pursuant to IDR decisions to be paid within 30 calendar days, HHS has not included a provision to require interest on payments not remitted within that timeframe, nor has HHS included any other mechanism for enforcing payments that health plans are required to remit per the IDR process.  </w:t>
      </w:r>
      <w:r w:rsidRPr="00FD43FF">
        <w:rPr>
          <w:rFonts w:ascii="Century Schoolbook" w:hAnsi="Century Schoolbook"/>
          <w:highlight w:val="yellow"/>
        </w:rPr>
        <w:t>[Health System]</w:t>
      </w:r>
      <w:r w:rsidRPr="00FD43FF">
        <w:rPr>
          <w:rFonts w:ascii="Century Schoolbook" w:hAnsi="Century Schoolbook"/>
        </w:rPr>
        <w:t xml:space="preserve"> feels that this is an easily correctible oversight, especially given that a provider who has prevailed in an IDR dispute has already spent multiple months pursuing money they were rightfully owed</w:t>
      </w:r>
      <w:r w:rsidR="008B397B" w:rsidRPr="00FD43FF">
        <w:rPr>
          <w:rFonts w:ascii="Century Schoolbook" w:hAnsi="Century Schoolbook"/>
        </w:rPr>
        <w:t xml:space="preserve"> and thus incurred increased cost to collect which the interest payment would assist in offsetting.</w:t>
      </w:r>
    </w:p>
    <w:p w14:paraId="5F6BC508" w14:textId="2DC1C118" w:rsidR="00760BED" w:rsidRPr="00FD43FF" w:rsidRDefault="00760BED">
      <w:pPr>
        <w:rPr>
          <w:rFonts w:ascii="Century Schoolbook" w:hAnsi="Century Schoolbook"/>
        </w:rPr>
      </w:pPr>
      <w:r w:rsidRPr="00FD43FF">
        <w:rPr>
          <w:rFonts w:ascii="Century Schoolbook" w:hAnsi="Century Schoolbook"/>
        </w:rPr>
        <w:t xml:space="preserve">Without the risk of incurring interest or other enforcement provision in the form of a fine, or risk of censure from HHS or other authority, health plans are incentivized to </w:t>
      </w:r>
      <w:r w:rsidR="00FD43FF" w:rsidRPr="00FD43FF">
        <w:rPr>
          <w:rFonts w:ascii="Century Schoolbook" w:hAnsi="Century Schoolbook"/>
        </w:rPr>
        <w:t>underpay all claims</w:t>
      </w:r>
      <w:r w:rsidRPr="00FD43FF">
        <w:rPr>
          <w:rFonts w:ascii="Century Schoolbook" w:hAnsi="Century Schoolbook"/>
        </w:rPr>
        <w:t xml:space="preserve">.  Without some safety measures, already disadvantaged providers are forced to expend many more resources to recover what they were already owed and then remain vigilant in pursuit even after prevailing in an IDR process. Implementation of interest on </w:t>
      </w:r>
      <w:r w:rsidRPr="00FD43FF">
        <w:rPr>
          <w:rFonts w:ascii="Century Schoolbook" w:hAnsi="Century Schoolbook"/>
        </w:rPr>
        <w:lastRenderedPageBreak/>
        <w:t>payments that do not occur on time should be the minimum measure added to the Rule to guarantee health plan compliance with the IDR.</w:t>
      </w:r>
      <w:r w:rsidR="00FD43FF" w:rsidRPr="00FD43FF">
        <w:rPr>
          <w:rFonts w:ascii="Century Schoolbook" w:hAnsi="Century Schoolbook"/>
        </w:rPr>
        <w:t xml:space="preserve">  Additionally, given the great application of resources this will incur, we also believe it appropriate to lengthen the timeline to initiate the IDR process.</w:t>
      </w:r>
    </w:p>
    <w:p w14:paraId="02ADC94B" w14:textId="77777777" w:rsidR="009959E7" w:rsidRPr="00FD43FF" w:rsidRDefault="009959E7">
      <w:pPr>
        <w:rPr>
          <w:rFonts w:ascii="Century Schoolbook" w:hAnsi="Century Schoolbook"/>
          <w:b/>
          <w:bCs/>
        </w:rPr>
      </w:pPr>
    </w:p>
    <w:p w14:paraId="10250CAD" w14:textId="5A506E24" w:rsidR="009959E7" w:rsidRPr="00FD43FF" w:rsidRDefault="009959E7" w:rsidP="009959E7">
      <w:pPr>
        <w:rPr>
          <w:rStyle w:val="Emphasis"/>
          <w:rFonts w:ascii="Century Schoolbook" w:hAnsi="Century Schoolbook"/>
          <w:b/>
          <w:bCs/>
          <w:i w:val="0"/>
          <w:iCs w:val="0"/>
        </w:rPr>
      </w:pPr>
      <w:r w:rsidRPr="00FD43FF">
        <w:rPr>
          <w:rStyle w:val="Emphasis"/>
          <w:rFonts w:ascii="Century Schoolbook" w:hAnsi="Century Schoolbook" w:cs="Segoe UI"/>
          <w:b/>
          <w:bCs/>
          <w:i w:val="0"/>
          <w:iCs w:val="0"/>
          <w:color w:val="333333"/>
          <w:shd w:val="clear" w:color="auto" w:fill="FFFFFF"/>
        </w:rPr>
        <w:t>Effectively Allowing Health Plans Unilateral Authority to Define “Good Faith”</w:t>
      </w:r>
      <w:r w:rsidR="00760BED" w:rsidRPr="00FD43FF">
        <w:rPr>
          <w:rStyle w:val="Emphasis"/>
          <w:rFonts w:ascii="Century Schoolbook" w:hAnsi="Century Schoolbook" w:cs="Segoe UI"/>
          <w:b/>
          <w:bCs/>
          <w:i w:val="0"/>
          <w:iCs w:val="0"/>
          <w:color w:val="333333"/>
          <w:shd w:val="clear" w:color="auto" w:fill="FFFFFF"/>
        </w:rPr>
        <w:t xml:space="preserve"> and “Reasonable”</w:t>
      </w:r>
    </w:p>
    <w:p w14:paraId="7863FC65" w14:textId="43E4BD68" w:rsidR="009959E7" w:rsidRPr="00FD43FF" w:rsidRDefault="00760BED" w:rsidP="00760BED">
      <w:pPr>
        <w:rPr>
          <w:rStyle w:val="Emphasis"/>
          <w:rFonts w:ascii="Century Schoolbook" w:hAnsi="Century Schoolbook" w:cs="Segoe UI"/>
          <w:i w:val="0"/>
          <w:iCs w:val="0"/>
          <w:color w:val="333333"/>
          <w:shd w:val="clear" w:color="auto" w:fill="FFFFFF"/>
        </w:rPr>
      </w:pPr>
      <w:r w:rsidRPr="00FD43FF">
        <w:rPr>
          <w:rStyle w:val="Emphasis"/>
          <w:rFonts w:ascii="Century Schoolbook" w:hAnsi="Century Schoolbook" w:cs="Segoe UI"/>
          <w:i w:val="0"/>
          <w:iCs w:val="0"/>
          <w:color w:val="333333"/>
          <w:shd w:val="clear" w:color="auto" w:fill="FFFFFF"/>
        </w:rPr>
        <w:t xml:space="preserve">[Health System] has also noted that throughout the NSA and subsequent IFRs, health plans have been given almost unilateral authority to define what constitutes “good faith” and “reasonable.”  The Rule here also </w:t>
      </w:r>
      <w:r w:rsidR="00FD43FF" w:rsidRPr="00FD43FF">
        <w:rPr>
          <w:rStyle w:val="Emphasis"/>
          <w:rFonts w:ascii="Century Schoolbook" w:hAnsi="Century Schoolbook" w:cs="Segoe UI"/>
          <w:i w:val="0"/>
          <w:iCs w:val="0"/>
          <w:color w:val="333333"/>
          <w:shd w:val="clear" w:color="auto" w:fill="FFFFFF"/>
        </w:rPr>
        <w:t>reiterates a good deal of “good faith” and “reasonableness” standards that are functionally at the sole discretion of health plans to define.  This reflects the continued uneven deference granted to health plans at the expense of providers and patients.  The standards for good faith remain vague and a</w:t>
      </w:r>
      <w:r w:rsidR="009959E7" w:rsidRPr="00FD43FF">
        <w:rPr>
          <w:rStyle w:val="Emphasis"/>
          <w:rFonts w:ascii="Century Schoolbook" w:hAnsi="Century Schoolbook" w:cs="Segoe UI"/>
          <w:i w:val="0"/>
          <w:iCs w:val="0"/>
          <w:color w:val="333333"/>
          <w:shd w:val="clear" w:color="auto" w:fill="FFFFFF"/>
        </w:rPr>
        <w:t>llow far too much room for payors to monopolize these definitions</w:t>
      </w:r>
      <w:r w:rsidR="00FD43FF" w:rsidRPr="00FD43FF">
        <w:rPr>
          <w:rStyle w:val="Emphasis"/>
          <w:rFonts w:ascii="Century Schoolbook" w:hAnsi="Century Schoolbook" w:cs="Segoe UI"/>
          <w:i w:val="0"/>
          <w:iCs w:val="0"/>
          <w:color w:val="333333"/>
          <w:shd w:val="clear" w:color="auto" w:fill="FFFFFF"/>
        </w:rPr>
        <w:t>, consequently</w:t>
      </w:r>
      <w:r w:rsidR="009959E7" w:rsidRPr="00FD43FF">
        <w:rPr>
          <w:rStyle w:val="Emphasis"/>
          <w:rFonts w:ascii="Century Schoolbook" w:hAnsi="Century Schoolbook" w:cs="Segoe UI"/>
          <w:i w:val="0"/>
          <w:iCs w:val="0"/>
          <w:color w:val="333333"/>
          <w:shd w:val="clear" w:color="auto" w:fill="FFFFFF"/>
        </w:rPr>
        <w:t xml:space="preserve"> creating an inequitable situation</w:t>
      </w:r>
      <w:r w:rsidR="00FD43FF" w:rsidRPr="00FD43FF">
        <w:rPr>
          <w:rStyle w:val="Emphasis"/>
          <w:rFonts w:ascii="Century Schoolbook" w:hAnsi="Century Schoolbook" w:cs="Segoe UI"/>
          <w:i w:val="0"/>
          <w:iCs w:val="0"/>
          <w:color w:val="333333"/>
          <w:shd w:val="clear" w:color="auto" w:fill="FFFFFF"/>
        </w:rPr>
        <w:t xml:space="preserve"> going forward.</w:t>
      </w:r>
      <w:r w:rsidR="009959E7" w:rsidRPr="00FD43FF">
        <w:rPr>
          <w:rStyle w:val="Emphasis"/>
          <w:rFonts w:ascii="Century Schoolbook" w:hAnsi="Century Schoolbook" w:cs="Segoe UI"/>
          <w:i w:val="0"/>
          <w:iCs w:val="0"/>
          <w:color w:val="333333"/>
          <w:shd w:val="clear" w:color="auto" w:fill="FFFFFF"/>
        </w:rPr>
        <w:t xml:space="preserve"> </w:t>
      </w:r>
      <w:r w:rsidR="00FD43FF" w:rsidRPr="00FD43FF">
        <w:rPr>
          <w:rStyle w:val="Emphasis"/>
          <w:rFonts w:ascii="Century Schoolbook" w:hAnsi="Century Schoolbook" w:cs="Segoe UI"/>
          <w:i w:val="0"/>
          <w:iCs w:val="0"/>
          <w:color w:val="333333"/>
          <w:shd w:val="clear" w:color="auto" w:fill="FFFFFF"/>
        </w:rPr>
        <w:t>This imbalance</w:t>
      </w:r>
      <w:r w:rsidR="009959E7" w:rsidRPr="00FD43FF">
        <w:rPr>
          <w:rStyle w:val="Emphasis"/>
          <w:rFonts w:ascii="Century Schoolbook" w:hAnsi="Century Schoolbook" w:cs="Segoe UI"/>
          <w:i w:val="0"/>
          <w:iCs w:val="0"/>
          <w:color w:val="333333"/>
          <w:shd w:val="clear" w:color="auto" w:fill="FFFFFF"/>
        </w:rPr>
        <w:t xml:space="preserve"> reflects that providers and patients were not adequately considered in the drafting of this rule</w:t>
      </w:r>
      <w:r w:rsidR="00FD43FF" w:rsidRPr="00FD43FF">
        <w:rPr>
          <w:rStyle w:val="Emphasis"/>
          <w:rFonts w:ascii="Century Schoolbook" w:hAnsi="Century Schoolbook" w:cs="Segoe UI"/>
          <w:i w:val="0"/>
          <w:iCs w:val="0"/>
          <w:color w:val="333333"/>
          <w:shd w:val="clear" w:color="auto" w:fill="FFFFFF"/>
        </w:rPr>
        <w:t>, nor the one that preceded it.</w:t>
      </w:r>
    </w:p>
    <w:p w14:paraId="39431865" w14:textId="77777777" w:rsidR="00FD43FF" w:rsidRPr="00FD43FF" w:rsidRDefault="00FD43FF" w:rsidP="00760BED">
      <w:pPr>
        <w:rPr>
          <w:rStyle w:val="Emphasis"/>
          <w:rFonts w:ascii="Century Schoolbook" w:hAnsi="Century Schoolbook" w:cs="Segoe UI"/>
          <w:i w:val="0"/>
          <w:iCs w:val="0"/>
          <w:color w:val="333333"/>
          <w:shd w:val="clear" w:color="auto" w:fill="FFFFFF"/>
        </w:rPr>
      </w:pPr>
    </w:p>
    <w:p w14:paraId="6776FDF7" w14:textId="2D89AC37" w:rsidR="009959E7" w:rsidRPr="00FD43FF" w:rsidRDefault="009959E7" w:rsidP="009959E7">
      <w:pPr>
        <w:rPr>
          <w:rFonts w:ascii="Century Schoolbook" w:hAnsi="Century Schoolbook"/>
          <w:b/>
          <w:bCs/>
        </w:rPr>
      </w:pPr>
      <w:r w:rsidRPr="00FD43FF">
        <w:rPr>
          <w:rStyle w:val="Emphasis"/>
          <w:rFonts w:ascii="Century Schoolbook" w:hAnsi="Century Schoolbook" w:cs="Segoe UI"/>
          <w:b/>
          <w:bCs/>
          <w:i w:val="0"/>
          <w:iCs w:val="0"/>
          <w:color w:val="333333"/>
          <w:shd w:val="clear" w:color="auto" w:fill="FFFFFF"/>
        </w:rPr>
        <w:t>Methodology of Creating the Good Faith Estimate</w:t>
      </w:r>
      <w:r w:rsidR="00FD43FF" w:rsidRPr="00FD43FF">
        <w:rPr>
          <w:rStyle w:val="Emphasis"/>
          <w:rFonts w:ascii="Century Schoolbook" w:hAnsi="Century Schoolbook" w:cs="Segoe UI"/>
          <w:b/>
          <w:bCs/>
          <w:i w:val="0"/>
          <w:iCs w:val="0"/>
          <w:color w:val="333333"/>
          <w:shd w:val="clear" w:color="auto" w:fill="FFFFFF"/>
        </w:rPr>
        <w:t xml:space="preserve"> for Uninsured/Self-Pay Patients</w:t>
      </w:r>
    </w:p>
    <w:p w14:paraId="2DE47A90" w14:textId="625E41FF" w:rsidR="009959E7" w:rsidRPr="00FD43FF" w:rsidRDefault="00760BED">
      <w:pPr>
        <w:rPr>
          <w:rFonts w:ascii="Century Schoolbook" w:hAnsi="Century Schoolbook"/>
        </w:rPr>
      </w:pPr>
      <w:r w:rsidRPr="00FD43FF">
        <w:rPr>
          <w:rFonts w:ascii="Century Schoolbook" w:hAnsi="Century Schoolbook"/>
          <w:highlight w:val="yellow"/>
        </w:rPr>
        <w:t>[Health System]</w:t>
      </w:r>
      <w:r w:rsidRPr="00FD43FF">
        <w:rPr>
          <w:rFonts w:ascii="Century Schoolbook" w:hAnsi="Century Schoolbook"/>
        </w:rPr>
        <w:t xml:space="preserve"> has noted a lack of clarity and direction in creating a Good Faith Estimate (GFE).  In addition to lack of </w:t>
      </w:r>
      <w:r w:rsidR="00FD43FF" w:rsidRPr="00FD43FF">
        <w:rPr>
          <w:rFonts w:ascii="Century Schoolbook" w:hAnsi="Century Schoolbook"/>
        </w:rPr>
        <w:t>defined parameters</w:t>
      </w:r>
      <w:r w:rsidRPr="00FD43FF">
        <w:rPr>
          <w:rFonts w:ascii="Century Schoolbook" w:hAnsi="Century Schoolbook"/>
        </w:rPr>
        <w:t xml:space="preserve"> on </w:t>
      </w:r>
      <w:r w:rsidR="00FD43FF" w:rsidRPr="00FD43FF">
        <w:rPr>
          <w:rFonts w:ascii="Century Schoolbook" w:hAnsi="Century Schoolbook"/>
        </w:rPr>
        <w:t>how a</w:t>
      </w:r>
      <w:r w:rsidR="008B397B" w:rsidRPr="00FD43FF">
        <w:rPr>
          <w:rFonts w:ascii="Century Schoolbook" w:hAnsi="Century Schoolbook"/>
        </w:rPr>
        <w:t xml:space="preserve"> GFE </w:t>
      </w:r>
      <w:r w:rsidRPr="00FD43FF">
        <w:rPr>
          <w:rFonts w:ascii="Century Schoolbook" w:hAnsi="Century Schoolbook"/>
        </w:rPr>
        <w:t>should be created, it is also unclear if the total billed charges (TBC) or expected patient liability would serve as the basis for any potential dispute.</w:t>
      </w:r>
    </w:p>
    <w:p w14:paraId="401E701F" w14:textId="2D8BEA49" w:rsidR="00760BED" w:rsidRPr="00FD43FF" w:rsidRDefault="00760BED">
      <w:pPr>
        <w:rPr>
          <w:rFonts w:ascii="Century Schoolbook" w:hAnsi="Century Schoolbook"/>
        </w:rPr>
      </w:pPr>
      <w:r w:rsidRPr="00FD43FF">
        <w:rPr>
          <w:rFonts w:ascii="Century Schoolbook" w:hAnsi="Century Schoolbook"/>
        </w:rPr>
        <w:t xml:space="preserve">Further, while HHS acknowledges that unforeseen circumstances may arise </w:t>
      </w:r>
      <w:proofErr w:type="gramStart"/>
      <w:r w:rsidRPr="00FD43FF">
        <w:rPr>
          <w:rFonts w:ascii="Century Schoolbook" w:hAnsi="Century Schoolbook"/>
        </w:rPr>
        <w:t>during the course of</w:t>
      </w:r>
      <w:proofErr w:type="gramEnd"/>
      <w:r w:rsidRPr="00FD43FF">
        <w:rPr>
          <w:rFonts w:ascii="Century Schoolbook" w:hAnsi="Century Schoolbook"/>
        </w:rPr>
        <w:t xml:space="preserve"> treatment that may cause deviation from the original GFE </w:t>
      </w:r>
      <w:r w:rsidR="009605B9" w:rsidRPr="00FD43FF">
        <w:rPr>
          <w:rFonts w:ascii="Century Schoolbook" w:hAnsi="Century Schoolbook"/>
        </w:rPr>
        <w:t xml:space="preserve">provided, </w:t>
      </w:r>
      <w:r w:rsidRPr="00FD43FF">
        <w:rPr>
          <w:rFonts w:ascii="Century Schoolbook" w:hAnsi="Century Schoolbook"/>
        </w:rPr>
        <w:t>there is no guidance on what will be considered a reasonable deviation and which authority gets to set that standard.  Consequently, [Health System] recommends that HHS adopts explicit language that defers to the clinical judgment of treating providers when determining reasonable diversions.  Otherwise, the dispute process runs the risk of being inundated with meritless complaints.</w:t>
      </w:r>
    </w:p>
    <w:p w14:paraId="670D1DB9" w14:textId="6A20C78A" w:rsidR="00760BED" w:rsidRPr="00FD43FF" w:rsidRDefault="00760BED" w:rsidP="009959E7">
      <w:pPr>
        <w:rPr>
          <w:rStyle w:val="Emphasis"/>
          <w:rFonts w:ascii="Century Schoolbook" w:hAnsi="Century Schoolbook" w:cs="Segoe UI"/>
          <w:i w:val="0"/>
          <w:iCs w:val="0"/>
          <w:color w:val="333333"/>
          <w:shd w:val="clear" w:color="auto" w:fill="FFFFFF"/>
        </w:rPr>
      </w:pPr>
      <w:r w:rsidRPr="00FD43FF">
        <w:rPr>
          <w:rFonts w:ascii="Century Schoolbook" w:hAnsi="Century Schoolbook"/>
        </w:rPr>
        <w:t xml:space="preserve">Further to that effect, HHS specifies a </w:t>
      </w:r>
      <w:r w:rsidR="009959E7" w:rsidRPr="00FD43FF">
        <w:rPr>
          <w:rStyle w:val="Emphasis"/>
          <w:rFonts w:ascii="Century Schoolbook" w:hAnsi="Century Schoolbook" w:cs="Segoe UI"/>
          <w:i w:val="0"/>
          <w:iCs w:val="0"/>
          <w:color w:val="333333"/>
          <w:shd w:val="clear" w:color="auto" w:fill="FFFFFF"/>
        </w:rPr>
        <w:t xml:space="preserve">$400 </w:t>
      </w:r>
      <w:r w:rsidRPr="00FD43FF">
        <w:rPr>
          <w:rStyle w:val="Emphasis"/>
          <w:rFonts w:ascii="Century Schoolbook" w:hAnsi="Century Schoolbook" w:cs="Segoe UI"/>
          <w:i w:val="0"/>
          <w:iCs w:val="0"/>
          <w:color w:val="333333"/>
          <w:shd w:val="clear" w:color="auto" w:fill="FFFFFF"/>
        </w:rPr>
        <w:t xml:space="preserve">deviation </w:t>
      </w:r>
      <w:r w:rsidR="009959E7" w:rsidRPr="00FD43FF">
        <w:rPr>
          <w:rStyle w:val="Emphasis"/>
          <w:rFonts w:ascii="Century Schoolbook" w:hAnsi="Century Schoolbook" w:cs="Segoe UI"/>
          <w:i w:val="0"/>
          <w:iCs w:val="0"/>
          <w:color w:val="333333"/>
          <w:shd w:val="clear" w:color="auto" w:fill="FFFFFF"/>
        </w:rPr>
        <w:t xml:space="preserve">threshold </w:t>
      </w:r>
      <w:r w:rsidRPr="00FD43FF">
        <w:rPr>
          <w:rStyle w:val="Emphasis"/>
          <w:rFonts w:ascii="Century Schoolbook" w:hAnsi="Century Schoolbook" w:cs="Segoe UI"/>
          <w:i w:val="0"/>
          <w:iCs w:val="0"/>
          <w:color w:val="333333"/>
          <w:shd w:val="clear" w:color="auto" w:fill="FFFFFF"/>
        </w:rPr>
        <w:t xml:space="preserve">in billed charges from the GFE as one </w:t>
      </w:r>
      <w:r w:rsidR="00FD43FF" w:rsidRPr="00FD43FF">
        <w:rPr>
          <w:rStyle w:val="Emphasis"/>
          <w:rFonts w:ascii="Century Schoolbook" w:hAnsi="Century Schoolbook" w:cs="Segoe UI"/>
          <w:i w:val="0"/>
          <w:iCs w:val="0"/>
          <w:color w:val="333333"/>
          <w:shd w:val="clear" w:color="auto" w:fill="FFFFFF"/>
        </w:rPr>
        <w:t xml:space="preserve">of the </w:t>
      </w:r>
      <w:r w:rsidRPr="00FD43FF">
        <w:rPr>
          <w:rStyle w:val="Emphasis"/>
          <w:rFonts w:ascii="Century Schoolbook" w:hAnsi="Century Schoolbook" w:cs="Segoe UI"/>
          <w:i w:val="0"/>
          <w:iCs w:val="0"/>
          <w:color w:val="333333"/>
          <w:shd w:val="clear" w:color="auto" w:fill="FFFFFF"/>
        </w:rPr>
        <w:t>factor</w:t>
      </w:r>
      <w:r w:rsidR="00FD43FF" w:rsidRPr="00FD43FF">
        <w:rPr>
          <w:rStyle w:val="Emphasis"/>
          <w:rFonts w:ascii="Century Schoolbook" w:hAnsi="Century Schoolbook" w:cs="Segoe UI"/>
          <w:i w:val="0"/>
          <w:iCs w:val="0"/>
          <w:color w:val="333333"/>
          <w:shd w:val="clear" w:color="auto" w:fill="FFFFFF"/>
        </w:rPr>
        <w:t>s</w:t>
      </w:r>
      <w:r w:rsidRPr="00FD43FF">
        <w:rPr>
          <w:rStyle w:val="Emphasis"/>
          <w:rFonts w:ascii="Century Schoolbook" w:hAnsi="Century Schoolbook" w:cs="Segoe UI"/>
          <w:i w:val="0"/>
          <w:iCs w:val="0"/>
          <w:color w:val="333333"/>
          <w:shd w:val="clear" w:color="auto" w:fill="FFFFFF"/>
        </w:rPr>
        <w:t xml:space="preserve"> required to </w:t>
      </w:r>
      <w:r w:rsidR="00FD43FF" w:rsidRPr="00FD43FF">
        <w:rPr>
          <w:rStyle w:val="Emphasis"/>
          <w:rFonts w:ascii="Century Schoolbook" w:hAnsi="Century Schoolbook" w:cs="Segoe UI"/>
          <w:i w:val="0"/>
          <w:iCs w:val="0"/>
          <w:color w:val="333333"/>
          <w:shd w:val="clear" w:color="auto" w:fill="FFFFFF"/>
        </w:rPr>
        <w:t>initiate</w:t>
      </w:r>
      <w:r w:rsidRPr="00FD43FF">
        <w:rPr>
          <w:rStyle w:val="Emphasis"/>
          <w:rFonts w:ascii="Century Schoolbook" w:hAnsi="Century Schoolbook" w:cs="Segoe UI"/>
          <w:i w:val="0"/>
          <w:iCs w:val="0"/>
          <w:color w:val="333333"/>
          <w:shd w:val="clear" w:color="auto" w:fill="FFFFFF"/>
        </w:rPr>
        <w:t xml:space="preserve"> a Patient-Provider Resolution (PPR) process.  However, this approach reflects a misunderstanding of how patient liability is calculated </w:t>
      </w:r>
      <w:proofErr w:type="gramStart"/>
      <w:r w:rsidRPr="00FD43FF">
        <w:rPr>
          <w:rStyle w:val="Emphasis"/>
          <w:rFonts w:ascii="Century Schoolbook" w:hAnsi="Century Schoolbook" w:cs="Segoe UI"/>
          <w:i w:val="0"/>
          <w:iCs w:val="0"/>
          <w:color w:val="333333"/>
          <w:shd w:val="clear" w:color="auto" w:fill="FFFFFF"/>
        </w:rPr>
        <w:t>and also</w:t>
      </w:r>
      <w:proofErr w:type="gramEnd"/>
      <w:r w:rsidRPr="00FD43FF">
        <w:rPr>
          <w:rStyle w:val="Emphasis"/>
          <w:rFonts w:ascii="Century Schoolbook" w:hAnsi="Century Schoolbook" w:cs="Segoe UI"/>
          <w:i w:val="0"/>
          <w:iCs w:val="0"/>
          <w:color w:val="333333"/>
          <w:shd w:val="clear" w:color="auto" w:fill="FFFFFF"/>
        </w:rPr>
        <w:t xml:space="preserve"> does not contemplate longer term or more complicated care, the cost of which is more fundamentally more difficult to estimate ahead of time.</w:t>
      </w:r>
    </w:p>
    <w:p w14:paraId="2DD3A195" w14:textId="0FC77C66" w:rsidR="00760BED" w:rsidRPr="00FD43FF" w:rsidRDefault="00760BED" w:rsidP="009959E7">
      <w:pPr>
        <w:rPr>
          <w:rStyle w:val="Emphasis"/>
          <w:rFonts w:ascii="Century Schoolbook" w:hAnsi="Century Schoolbook" w:cs="Segoe UI"/>
          <w:i w:val="0"/>
          <w:iCs w:val="0"/>
          <w:color w:val="333333"/>
          <w:shd w:val="clear" w:color="auto" w:fill="FFFFFF"/>
        </w:rPr>
      </w:pPr>
      <w:r w:rsidRPr="00FD43FF">
        <w:rPr>
          <w:rStyle w:val="Emphasis"/>
          <w:rFonts w:ascii="Century Schoolbook" w:hAnsi="Century Schoolbook" w:cs="Segoe UI"/>
          <w:i w:val="0"/>
          <w:iCs w:val="0"/>
          <w:color w:val="333333"/>
          <w:shd w:val="clear" w:color="auto" w:fill="FFFFFF"/>
        </w:rPr>
        <w:t xml:space="preserve">Firstly, we feel that a percentage of deviation would be far more appropriate than a set dollar amount, especially in cases of longer courses of treatment and unforeseen circumstances.  Secondly, it would be appropriate to institute differing thresholds for differing circumstances, </w:t>
      </w:r>
      <w:r w:rsidR="00FD43FF" w:rsidRPr="00FD43FF">
        <w:rPr>
          <w:rStyle w:val="Emphasis"/>
          <w:rFonts w:ascii="Century Schoolbook" w:hAnsi="Century Schoolbook" w:cs="Segoe UI"/>
          <w:i w:val="0"/>
          <w:iCs w:val="0"/>
          <w:color w:val="333333"/>
          <w:shd w:val="clear" w:color="auto" w:fill="FFFFFF"/>
        </w:rPr>
        <w:t>i.e.,</w:t>
      </w:r>
      <w:r w:rsidRPr="00FD43FF">
        <w:rPr>
          <w:rStyle w:val="Emphasis"/>
          <w:rFonts w:ascii="Century Schoolbook" w:hAnsi="Century Schoolbook" w:cs="Segoe UI"/>
          <w:i w:val="0"/>
          <w:iCs w:val="0"/>
          <w:color w:val="333333"/>
          <w:shd w:val="clear" w:color="auto" w:fill="FFFFFF"/>
        </w:rPr>
        <w:t xml:space="preserve"> inpatient treatment vs outpatient, etc.  Lastly, we recommend that HHS base this requirement </w:t>
      </w:r>
      <w:proofErr w:type="gramStart"/>
      <w:r w:rsidRPr="00FD43FF">
        <w:rPr>
          <w:rStyle w:val="Emphasis"/>
          <w:rFonts w:ascii="Century Schoolbook" w:hAnsi="Century Schoolbook" w:cs="Segoe UI"/>
          <w:i w:val="0"/>
          <w:iCs w:val="0"/>
          <w:color w:val="333333"/>
          <w:shd w:val="clear" w:color="auto" w:fill="FFFFFF"/>
        </w:rPr>
        <w:t>off of</w:t>
      </w:r>
      <w:proofErr w:type="gramEnd"/>
      <w:r w:rsidRPr="00FD43FF">
        <w:rPr>
          <w:rStyle w:val="Emphasis"/>
          <w:rFonts w:ascii="Century Schoolbook" w:hAnsi="Century Schoolbook" w:cs="Segoe UI"/>
          <w:i w:val="0"/>
          <w:iCs w:val="0"/>
          <w:color w:val="333333"/>
          <w:shd w:val="clear" w:color="auto" w:fill="FFFFFF"/>
        </w:rPr>
        <w:t xml:space="preserve"> estimated patient liability and not TBC.</w:t>
      </w:r>
    </w:p>
    <w:p w14:paraId="5AD42CC8" w14:textId="0693E94E" w:rsidR="009959E7" w:rsidRPr="00FD43FF" w:rsidRDefault="009959E7" w:rsidP="009959E7">
      <w:pPr>
        <w:rPr>
          <w:rFonts w:ascii="Century Schoolbook" w:hAnsi="Century Schoolbook"/>
        </w:rPr>
      </w:pPr>
    </w:p>
    <w:p w14:paraId="736A0596" w14:textId="5CAD1353" w:rsidR="00FD43FF" w:rsidRPr="00FD43FF" w:rsidRDefault="00FD43FF" w:rsidP="009959E7">
      <w:pPr>
        <w:rPr>
          <w:rFonts w:ascii="Century Schoolbook" w:hAnsi="Century Schoolbook"/>
          <w:b/>
          <w:bCs/>
        </w:rPr>
      </w:pPr>
      <w:r w:rsidRPr="00FD43FF">
        <w:rPr>
          <w:rFonts w:ascii="Century Schoolbook" w:hAnsi="Century Schoolbook"/>
          <w:b/>
          <w:bCs/>
        </w:rPr>
        <w:t>Departments Seek Comment on the Random Selection of an IDR in Case of Non-Agreement Between the Parties</w:t>
      </w:r>
    </w:p>
    <w:p w14:paraId="76CB4452" w14:textId="69223D41" w:rsidR="00FD43FF" w:rsidRPr="00FD43FF" w:rsidRDefault="00FD43FF" w:rsidP="009959E7">
      <w:pPr>
        <w:rPr>
          <w:rFonts w:ascii="Century Schoolbook" w:hAnsi="Century Schoolbook"/>
        </w:rPr>
      </w:pPr>
      <w:r w:rsidRPr="00FD43FF">
        <w:rPr>
          <w:rFonts w:ascii="Century Schoolbook" w:hAnsi="Century Schoolbook"/>
        </w:rPr>
        <w:t>The Departments have specifically sought comment on potential issues with the stated intention to randomly select an IDR if disputing parties cannot agree upon one.  As HHS suggests, we agree that only choosing from a pool of IDR Entities within a certain price range would be most appropriate.  Without that safeguard, many providers, especially rural and regional medical centers, run an undue risk of assuming greater costs in pursuit of underpaid and owed money.  Treating an underserved area should not be a bar to utilizing the IDR process and recovering dollars owed by health plans for treatment of their members.</w:t>
      </w:r>
    </w:p>
    <w:p w14:paraId="1E8AC8B3" w14:textId="1B3EEEE8" w:rsidR="009959E7" w:rsidRPr="00FD43FF" w:rsidRDefault="009959E7" w:rsidP="009959E7">
      <w:pPr>
        <w:rPr>
          <w:rFonts w:ascii="Century Schoolbook" w:hAnsi="Century Schoolbook"/>
        </w:rPr>
      </w:pPr>
    </w:p>
    <w:p w14:paraId="586003A3" w14:textId="0EC90952" w:rsidR="00FD43FF" w:rsidRPr="00FD43FF" w:rsidRDefault="00FD43FF" w:rsidP="009959E7">
      <w:pPr>
        <w:rPr>
          <w:rFonts w:ascii="Century Schoolbook" w:hAnsi="Century Schoolbook"/>
        </w:rPr>
      </w:pPr>
      <w:r w:rsidRPr="00FD43FF">
        <w:rPr>
          <w:rFonts w:ascii="Century Schoolbook" w:hAnsi="Century Schoolbook"/>
          <w:b/>
          <w:bCs/>
        </w:rPr>
        <w:t>Request for Additional Clarity</w:t>
      </w:r>
    </w:p>
    <w:p w14:paraId="51773C1F" w14:textId="23E87E2A" w:rsidR="00FD43FF" w:rsidRPr="00FD43FF" w:rsidRDefault="00FD43FF" w:rsidP="009959E7">
      <w:pPr>
        <w:rPr>
          <w:rFonts w:ascii="Century Schoolbook" w:hAnsi="Century Schoolbook"/>
        </w:rPr>
      </w:pPr>
      <w:r w:rsidRPr="00FD43FF">
        <w:rPr>
          <w:rFonts w:ascii="Century Schoolbook" w:hAnsi="Century Schoolbook"/>
        </w:rPr>
        <w:t>Lastly, [Health System] would like to request additional clarity from the Departments on several areas and request that implementation of these provisions be delayed until such time as the additional clarity may be reviewed and commented upon.</w:t>
      </w:r>
    </w:p>
    <w:p w14:paraId="293CD9DD" w14:textId="218E0A86" w:rsidR="00FD43FF" w:rsidRPr="00FD43FF" w:rsidRDefault="00FD43FF" w:rsidP="009959E7">
      <w:pPr>
        <w:rPr>
          <w:rFonts w:ascii="Century Schoolbook" w:hAnsi="Century Schoolbook"/>
        </w:rPr>
      </w:pPr>
      <w:r w:rsidRPr="00FD43FF">
        <w:rPr>
          <w:rFonts w:ascii="Century Schoolbook" w:hAnsi="Century Schoolbook"/>
        </w:rPr>
        <w:t>Firstly, the Rule does not make clear if a third-party may act on behalf of a provider regarding the IDR process, execut</w:t>
      </w:r>
      <w:r>
        <w:rPr>
          <w:rFonts w:ascii="Century Schoolbook" w:hAnsi="Century Schoolbook"/>
        </w:rPr>
        <w:t>ion of</w:t>
      </w:r>
      <w:r w:rsidRPr="00FD43FF">
        <w:rPr>
          <w:rFonts w:ascii="Century Schoolbook" w:hAnsi="Century Schoolbook"/>
        </w:rPr>
        <w:t xml:space="preserve"> attestations and notices, or any other processes</w:t>
      </w:r>
      <w:r>
        <w:rPr>
          <w:rFonts w:ascii="Century Schoolbook" w:hAnsi="Century Schoolbook"/>
        </w:rPr>
        <w:t xml:space="preserve"> promulgated under this Rule</w:t>
      </w:r>
      <w:r w:rsidRPr="00FD43FF">
        <w:rPr>
          <w:rFonts w:ascii="Century Schoolbook" w:hAnsi="Century Schoolbook"/>
        </w:rPr>
        <w:t xml:space="preserve">.  We would ask that </w:t>
      </w:r>
      <w:r>
        <w:rPr>
          <w:rFonts w:ascii="Century Schoolbook" w:hAnsi="Century Schoolbook"/>
        </w:rPr>
        <w:t>additional</w:t>
      </w:r>
      <w:r w:rsidRPr="00FD43FF">
        <w:rPr>
          <w:rFonts w:ascii="Century Schoolbook" w:hAnsi="Century Schoolbook"/>
        </w:rPr>
        <w:t xml:space="preserve"> language </w:t>
      </w:r>
      <w:proofErr w:type="gramStart"/>
      <w:r w:rsidRPr="00FD43FF">
        <w:rPr>
          <w:rFonts w:ascii="Century Schoolbook" w:hAnsi="Century Schoolbook"/>
        </w:rPr>
        <w:t>be</w:t>
      </w:r>
      <w:proofErr w:type="gramEnd"/>
      <w:r w:rsidRPr="00FD43FF">
        <w:rPr>
          <w:rFonts w:ascii="Century Schoolbook" w:hAnsi="Century Schoolbook"/>
        </w:rPr>
        <w:t xml:space="preserve"> </w:t>
      </w:r>
      <w:r>
        <w:rPr>
          <w:rFonts w:ascii="Century Schoolbook" w:hAnsi="Century Schoolbook"/>
        </w:rPr>
        <w:t xml:space="preserve">issued to </w:t>
      </w:r>
      <w:r w:rsidRPr="00FD43FF">
        <w:rPr>
          <w:rFonts w:ascii="Century Schoolbook" w:hAnsi="Century Schoolbook"/>
        </w:rPr>
        <w:t>clear</w:t>
      </w:r>
      <w:r>
        <w:rPr>
          <w:rFonts w:ascii="Century Schoolbook" w:hAnsi="Century Schoolbook"/>
        </w:rPr>
        <w:t>ly state</w:t>
      </w:r>
      <w:r w:rsidRPr="00FD43FF">
        <w:rPr>
          <w:rFonts w:ascii="Century Schoolbook" w:hAnsi="Century Schoolbook"/>
        </w:rPr>
        <w:t xml:space="preserve"> the permissibility of third-parties acting on behalf of providers.</w:t>
      </w:r>
    </w:p>
    <w:p w14:paraId="2B063B4E" w14:textId="0BA1A52F" w:rsidR="00FD43FF" w:rsidRPr="00FD43FF" w:rsidRDefault="00FD43FF" w:rsidP="009959E7">
      <w:pPr>
        <w:rPr>
          <w:rFonts w:ascii="Century Schoolbook" w:hAnsi="Century Schoolbook"/>
        </w:rPr>
      </w:pPr>
      <w:r w:rsidRPr="00FD43FF">
        <w:rPr>
          <w:rFonts w:ascii="Century Schoolbook" w:hAnsi="Century Schoolbook"/>
        </w:rPr>
        <w:t>Regarding the objection to a suggested IDR entity</w:t>
      </w:r>
      <w:r>
        <w:rPr>
          <w:rFonts w:ascii="Century Schoolbook" w:hAnsi="Century Schoolbook"/>
        </w:rPr>
        <w:t xml:space="preserve"> from one party by another</w:t>
      </w:r>
      <w:r w:rsidRPr="00FD43FF">
        <w:rPr>
          <w:rFonts w:ascii="Century Schoolbook" w:hAnsi="Century Schoolbook"/>
        </w:rPr>
        <w:t xml:space="preserve">: there is </w:t>
      </w:r>
      <w:r>
        <w:rPr>
          <w:rFonts w:ascii="Century Schoolbook" w:hAnsi="Century Schoolbook"/>
        </w:rPr>
        <w:t xml:space="preserve">currently </w:t>
      </w:r>
      <w:r w:rsidRPr="00FD43FF">
        <w:rPr>
          <w:rFonts w:ascii="Century Schoolbook" w:hAnsi="Century Schoolbook"/>
        </w:rPr>
        <w:t>no language specifying the form this objection must/may take</w:t>
      </w:r>
      <w:r>
        <w:rPr>
          <w:rFonts w:ascii="Century Schoolbook" w:hAnsi="Century Schoolbook"/>
        </w:rPr>
        <w:t xml:space="preserve"> (written, oral, etc.)</w:t>
      </w:r>
      <w:r w:rsidRPr="00FD43FF">
        <w:rPr>
          <w:rFonts w:ascii="Century Schoolbook" w:hAnsi="Century Schoolbook"/>
        </w:rPr>
        <w:t xml:space="preserve">, nor is there an indication of </w:t>
      </w:r>
      <w:r>
        <w:rPr>
          <w:rFonts w:ascii="Century Schoolbook" w:hAnsi="Century Schoolbook"/>
        </w:rPr>
        <w:t xml:space="preserve">its </w:t>
      </w:r>
      <w:r w:rsidRPr="00FD43FF">
        <w:rPr>
          <w:rFonts w:ascii="Century Schoolbook" w:hAnsi="Century Schoolbook"/>
        </w:rPr>
        <w:t>required content.  It is further unclear who may make this objection on behalf of their respective party.  We feel that additional clarifying language would also be appropriate here.</w:t>
      </w:r>
    </w:p>
    <w:p w14:paraId="76A7EF44" w14:textId="2376B8F9" w:rsidR="00FD43FF" w:rsidRPr="00FD43FF" w:rsidRDefault="00FD43FF" w:rsidP="00FD43FF">
      <w:pPr>
        <w:rPr>
          <w:rStyle w:val="Emphasis"/>
          <w:rFonts w:ascii="Century Schoolbook" w:hAnsi="Century Schoolbook" w:cs="Segoe UI"/>
          <w:i w:val="0"/>
          <w:iCs w:val="0"/>
          <w:color w:val="333333"/>
          <w:shd w:val="clear" w:color="auto" w:fill="FFFFFF"/>
        </w:rPr>
      </w:pPr>
      <w:r w:rsidRPr="00FD43FF">
        <w:rPr>
          <w:rFonts w:ascii="Century Schoolbook" w:hAnsi="Century Schoolbook"/>
        </w:rPr>
        <w:t>To what extent must a provider be proactive in updating a good faith estimate to a self-pay patient who revises their desire to be billed instead of requesting their plan be billed.  If such a decision is made prior to rendering of services, must such services be delayed until an updated GFE can be formulated?</w:t>
      </w:r>
    </w:p>
    <w:p w14:paraId="27E15BC2" w14:textId="57204944" w:rsidR="009959E7" w:rsidRPr="00FD43FF" w:rsidRDefault="009959E7" w:rsidP="00FD43FF">
      <w:pPr>
        <w:rPr>
          <w:rStyle w:val="Emphasis"/>
          <w:rFonts w:ascii="Century Schoolbook" w:hAnsi="Century Schoolbook"/>
          <w:i w:val="0"/>
          <w:iCs w:val="0"/>
        </w:rPr>
      </w:pPr>
    </w:p>
    <w:p w14:paraId="0CA790D2" w14:textId="25BDD9D6" w:rsidR="00FD43FF" w:rsidRPr="00FD43FF" w:rsidRDefault="00FD43FF" w:rsidP="00FD43FF">
      <w:pPr>
        <w:rPr>
          <w:rStyle w:val="Emphasis"/>
          <w:rFonts w:ascii="Century Schoolbook" w:hAnsi="Century Schoolbook"/>
          <w:b/>
          <w:bCs/>
          <w:i w:val="0"/>
          <w:iCs w:val="0"/>
        </w:rPr>
      </w:pPr>
      <w:r w:rsidRPr="00FD43FF">
        <w:rPr>
          <w:rStyle w:val="Emphasis"/>
          <w:rFonts w:ascii="Century Schoolbook" w:hAnsi="Century Schoolbook"/>
          <w:b/>
          <w:bCs/>
          <w:i w:val="0"/>
          <w:iCs w:val="0"/>
        </w:rPr>
        <w:t>Conclusion</w:t>
      </w:r>
    </w:p>
    <w:p w14:paraId="5C4658E5" w14:textId="1C1C7812" w:rsidR="00FD43FF" w:rsidRPr="00FD43FF" w:rsidRDefault="00FD43FF" w:rsidP="00FD43FF">
      <w:pPr>
        <w:rPr>
          <w:rFonts w:ascii="Century Schoolbook" w:hAnsi="Century Schoolbook"/>
        </w:rPr>
      </w:pPr>
      <w:r w:rsidRPr="00FD43FF">
        <w:rPr>
          <w:rFonts w:ascii="Century Schoolbook" w:hAnsi="Century Schoolbook"/>
        </w:rPr>
        <w:t>In consideration of the forgoing, [</w:t>
      </w:r>
      <w:r w:rsidRPr="00FD43FF">
        <w:rPr>
          <w:rFonts w:ascii="Century Schoolbook" w:hAnsi="Century Schoolbook"/>
          <w:highlight w:val="yellow"/>
        </w:rPr>
        <w:t>Health System</w:t>
      </w:r>
      <w:r w:rsidRPr="00FD43FF">
        <w:rPr>
          <w:rFonts w:ascii="Century Schoolbook" w:hAnsi="Century Schoolbook"/>
        </w:rPr>
        <w:t>] respectfully requests that HHS revisit these identified issues and delay implementation of this Proposed Rule so that it may be improved to better serve patients and adequately balance the demands made of providers and health plans.  Should the rule be implemented as is, then there is a risk of great administrative morass that would threaten providers’ ability to serve their regions.  While we largely support HHS’ efforts with this Rule, we feel that these changes are necessary to create a lasting foundation for effective and fair implementation and governance.</w:t>
      </w:r>
    </w:p>
    <w:p w14:paraId="11CD298D" w14:textId="77777777" w:rsidR="00FD43FF" w:rsidRPr="00FD43FF" w:rsidRDefault="00FD43FF" w:rsidP="00FD43FF">
      <w:pPr>
        <w:rPr>
          <w:rFonts w:ascii="Century Schoolbook" w:hAnsi="Century Schoolbook"/>
        </w:rPr>
      </w:pPr>
      <w:r w:rsidRPr="00FD43FF">
        <w:rPr>
          <w:rFonts w:ascii="Century Schoolbook" w:hAnsi="Century Schoolbook"/>
          <w:highlight w:val="yellow"/>
        </w:rPr>
        <w:lastRenderedPageBreak/>
        <w:t>[Health System]</w:t>
      </w:r>
      <w:r w:rsidRPr="00FD43FF">
        <w:rPr>
          <w:rFonts w:ascii="Century Schoolbook" w:hAnsi="Century Schoolbook"/>
        </w:rPr>
        <w:t xml:space="preserve"> thanks the Secretary and those working with HHS with the goals of providing the best care possible to patients nationwide and for their time and consideration. </w:t>
      </w:r>
    </w:p>
    <w:p w14:paraId="06BFD055" w14:textId="77777777" w:rsidR="00FD43FF" w:rsidRPr="00FD43FF" w:rsidRDefault="00FD43FF" w:rsidP="00FD43FF">
      <w:pPr>
        <w:rPr>
          <w:rFonts w:ascii="Century Schoolbook" w:hAnsi="Century Schoolbook"/>
        </w:rPr>
      </w:pPr>
    </w:p>
    <w:p w14:paraId="07A7F2A6" w14:textId="77777777" w:rsidR="00FD43FF" w:rsidRPr="00FD43FF" w:rsidRDefault="00FD43FF" w:rsidP="00FD43FF">
      <w:pPr>
        <w:rPr>
          <w:rFonts w:ascii="Century Schoolbook" w:hAnsi="Century Schoolbook"/>
        </w:rPr>
      </w:pPr>
      <w:r w:rsidRPr="00FD43FF">
        <w:rPr>
          <w:rFonts w:ascii="Century Schoolbook" w:hAnsi="Century Schoolbook"/>
        </w:rPr>
        <w:t xml:space="preserve">Sincerely, </w:t>
      </w:r>
    </w:p>
    <w:p w14:paraId="51146C65" w14:textId="77777777" w:rsidR="00FD43FF" w:rsidRPr="00FD43FF" w:rsidRDefault="00FD43FF" w:rsidP="00FD43FF">
      <w:pPr>
        <w:rPr>
          <w:rFonts w:ascii="Century Schoolbook" w:hAnsi="Century Schoolbook"/>
        </w:rPr>
      </w:pPr>
      <w:r w:rsidRPr="00FD43FF">
        <w:rPr>
          <w:rFonts w:ascii="Century Schoolbook" w:hAnsi="Century Schoolbook"/>
          <w:highlight w:val="yellow"/>
        </w:rPr>
        <w:t>[Signatory Info]</w:t>
      </w:r>
    </w:p>
    <w:p w14:paraId="7F5AB9D6" w14:textId="77777777" w:rsidR="00FD43FF" w:rsidRPr="00FD43FF" w:rsidRDefault="00FD43FF" w:rsidP="00FD43FF">
      <w:pPr>
        <w:rPr>
          <w:rStyle w:val="Emphasis"/>
          <w:rFonts w:ascii="Century Schoolbook" w:hAnsi="Century Schoolbook"/>
          <w:i w:val="0"/>
          <w:iCs w:val="0"/>
        </w:rPr>
      </w:pPr>
    </w:p>
    <w:sectPr w:rsidR="00FD43FF" w:rsidRPr="00FD43F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AA1BA" w14:textId="77777777" w:rsidR="00454100" w:rsidRDefault="00454100" w:rsidP="009959E7">
      <w:pPr>
        <w:spacing w:after="0" w:line="240" w:lineRule="auto"/>
      </w:pPr>
      <w:r>
        <w:separator/>
      </w:r>
    </w:p>
  </w:endnote>
  <w:endnote w:type="continuationSeparator" w:id="0">
    <w:p w14:paraId="2151BCD5" w14:textId="77777777" w:rsidR="00454100" w:rsidRDefault="00454100" w:rsidP="0099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3E8A4" w14:textId="77777777" w:rsidR="00454100" w:rsidRDefault="00454100" w:rsidP="009959E7">
      <w:pPr>
        <w:spacing w:after="0" w:line="240" w:lineRule="auto"/>
      </w:pPr>
      <w:r>
        <w:separator/>
      </w:r>
    </w:p>
  </w:footnote>
  <w:footnote w:type="continuationSeparator" w:id="0">
    <w:p w14:paraId="5CD10B94" w14:textId="77777777" w:rsidR="00454100" w:rsidRDefault="00454100" w:rsidP="009959E7">
      <w:pPr>
        <w:spacing w:after="0" w:line="240" w:lineRule="auto"/>
      </w:pPr>
      <w:r>
        <w:continuationSeparator/>
      </w:r>
    </w:p>
  </w:footnote>
  <w:footnote w:id="1">
    <w:p w14:paraId="1733BA60" w14:textId="77777777" w:rsidR="009959E7" w:rsidRPr="00A4794D" w:rsidRDefault="009959E7" w:rsidP="009959E7">
      <w:pPr>
        <w:pStyle w:val="FootnoteText"/>
        <w:rPr>
          <w:rFonts w:ascii="Century Schoolbook" w:hAnsi="Century Schoolbook" w:cstheme="minorHAnsi"/>
        </w:rPr>
      </w:pPr>
      <w:r w:rsidRPr="00A4794D">
        <w:rPr>
          <w:rStyle w:val="FootnoteReference"/>
          <w:rFonts w:ascii="Century Schoolbook" w:hAnsi="Century Schoolbook" w:cstheme="minorHAnsi"/>
        </w:rPr>
        <w:footnoteRef/>
      </w:r>
      <w:r w:rsidRPr="00A4794D">
        <w:rPr>
          <w:rFonts w:ascii="Century Schoolbook" w:hAnsi="Century Schoolbook" w:cstheme="minorHAnsi"/>
        </w:rPr>
        <w:t xml:space="preserve"> </w:t>
      </w:r>
      <w:hyperlink r:id="rId1" w:history="1">
        <w:r w:rsidRPr="00E50274">
          <w:rPr>
            <w:rStyle w:val="Hyperlink"/>
            <w:rFonts w:ascii="Century Schoolbook" w:eastAsia="Times New Roman" w:hAnsi="Century Schoolbook" w:cstheme="minorHAnsi"/>
          </w:rPr>
          <w:t>https://www.regulations.gov/commenton/CMS-2021-0147-0001</w:t>
        </w:r>
      </w:hyperlink>
      <w:r w:rsidRPr="00A4794D">
        <w:rPr>
          <w:rFonts w:ascii="Century Schoolbook" w:hAnsi="Century Schoolbook" w:cstheme="minorHAnsi"/>
        </w:rPr>
        <w:t xml:space="preserve"> </w:t>
      </w:r>
    </w:p>
  </w:footnote>
  <w:footnote w:id="2">
    <w:p w14:paraId="6E3AC2BD" w14:textId="1E2E32D9" w:rsidR="009959E7" w:rsidRPr="00A4794D" w:rsidRDefault="009959E7" w:rsidP="009959E7">
      <w:pPr>
        <w:pStyle w:val="Heading1"/>
        <w:spacing w:before="0" w:beforeAutospacing="0" w:after="0" w:afterAutospacing="0"/>
        <w:textAlignment w:val="baseline"/>
        <w:rPr>
          <w:rFonts w:ascii="Century Schoolbook" w:hAnsi="Century Schoolbook" w:cstheme="minorHAnsi"/>
          <w:b w:val="0"/>
          <w:bCs w:val="0"/>
          <w:color w:val="333333"/>
          <w:sz w:val="20"/>
          <w:szCs w:val="20"/>
        </w:rPr>
      </w:pPr>
      <w:r w:rsidRPr="00A4794D">
        <w:rPr>
          <w:rStyle w:val="FootnoteReference"/>
          <w:rFonts w:ascii="Century Schoolbook" w:hAnsi="Century Schoolbook" w:cstheme="minorHAnsi"/>
          <w:b w:val="0"/>
          <w:bCs w:val="0"/>
          <w:sz w:val="20"/>
          <w:szCs w:val="20"/>
        </w:rPr>
        <w:footnoteRef/>
      </w:r>
      <w:r w:rsidRPr="00A4794D">
        <w:rPr>
          <w:rFonts w:ascii="Century Schoolbook" w:hAnsi="Century Schoolbook" w:cstheme="minorHAnsi"/>
          <w:b w:val="0"/>
          <w:bCs w:val="0"/>
          <w:sz w:val="20"/>
          <w:szCs w:val="20"/>
        </w:rPr>
        <w:t xml:space="preserve"> </w:t>
      </w:r>
      <w:r>
        <w:rPr>
          <w:rFonts w:ascii="Century Schoolbook" w:hAnsi="Century Schoolbook" w:cstheme="minorHAnsi"/>
          <w:b w:val="0"/>
          <w:bCs w:val="0"/>
          <w:sz w:val="20"/>
          <w:szCs w:val="20"/>
        </w:rPr>
        <w:t>86 FR 55980</w:t>
      </w:r>
      <w:r w:rsidRPr="00A4794D">
        <w:rPr>
          <w:rFonts w:ascii="Century Schoolbook" w:hAnsi="Century Schoolbook" w:cstheme="minorHAnsi"/>
          <w:b w:val="0"/>
          <w:bCs w:val="0"/>
          <w:sz w:val="20"/>
          <w:szCs w:val="20"/>
        </w:rPr>
        <w:t xml:space="preserve">; Published </w:t>
      </w:r>
      <w:r>
        <w:rPr>
          <w:rFonts w:ascii="Century Schoolbook" w:hAnsi="Century Schoolbook" w:cstheme="minorHAnsi"/>
          <w:b w:val="0"/>
          <w:bCs w:val="0"/>
          <w:sz w:val="20"/>
          <w:szCs w:val="20"/>
        </w:rPr>
        <w:t>October 7</w:t>
      </w:r>
      <w:r w:rsidRPr="00A4794D">
        <w:rPr>
          <w:rFonts w:ascii="Century Schoolbook" w:hAnsi="Century Schoolbook" w:cstheme="minorHAnsi"/>
          <w:b w:val="0"/>
          <w:bCs w:val="0"/>
          <w:sz w:val="20"/>
          <w:szCs w:val="20"/>
        </w:rPr>
        <w:t>, 2021</w:t>
      </w:r>
    </w:p>
  </w:footnote>
  <w:footnote w:id="3">
    <w:p w14:paraId="09F7A24D" w14:textId="50E507A3" w:rsidR="00FD43FF" w:rsidRDefault="00FD43FF">
      <w:pPr>
        <w:pStyle w:val="FootnoteText"/>
      </w:pPr>
      <w:r>
        <w:rPr>
          <w:rStyle w:val="FootnoteReference"/>
        </w:rPr>
        <w:footnoteRef/>
      </w:r>
      <w:r>
        <w:t xml:space="preserve"> See </w:t>
      </w:r>
      <w:hyperlink r:id="rId2" w:history="1">
        <w:r w:rsidRPr="00136673">
          <w:rPr>
            <w:rStyle w:val="Hyperlink"/>
          </w:rPr>
          <w:t>https://khn.org/news/article/anthem-united-major-insurers-behind-on-payments-billions-owed-hospitals-doctors-covid/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3E63" w14:textId="77777777" w:rsidR="009959E7" w:rsidRDefault="009959E7" w:rsidP="009959E7">
    <w:pPr>
      <w:pStyle w:val="Header"/>
    </w:pPr>
    <w:r w:rsidRPr="00453018">
      <w:rPr>
        <w:color w:val="4472C4" w:themeColor="accent1"/>
        <w:sz w:val="20"/>
        <w:szCs w:val="20"/>
        <w:highlight w:val="yellow"/>
      </w:rPr>
      <w:ptab w:relativeTo="margin" w:alignment="center" w:leader="none"/>
    </w:r>
    <w:r w:rsidRPr="00453018">
      <w:rPr>
        <w:color w:val="4472C4" w:themeColor="accent1"/>
        <w:sz w:val="20"/>
        <w:szCs w:val="20"/>
        <w:highlight w:val="yellow"/>
      </w:rPr>
      <w:t>ENTER HEALTH SYSTEM HEADER</w:t>
    </w:r>
    <w:r w:rsidRPr="00453018">
      <w:rPr>
        <w:color w:val="4472C4" w:themeColor="accent1"/>
        <w:sz w:val="20"/>
        <w:szCs w:val="20"/>
        <w:highlight w:val="yellow"/>
      </w:rPr>
      <w:ptab w:relativeTo="margin" w:alignment="right" w:leader="none"/>
    </w:r>
  </w:p>
  <w:p w14:paraId="4D54ED14" w14:textId="77777777" w:rsidR="009959E7" w:rsidRDefault="00995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43B49"/>
    <w:multiLevelType w:val="hybridMultilevel"/>
    <w:tmpl w:val="2F120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E7"/>
    <w:rsid w:val="00041510"/>
    <w:rsid w:val="001F3869"/>
    <w:rsid w:val="002265B7"/>
    <w:rsid w:val="00356B3F"/>
    <w:rsid w:val="00454100"/>
    <w:rsid w:val="00471889"/>
    <w:rsid w:val="00760BED"/>
    <w:rsid w:val="008B397B"/>
    <w:rsid w:val="009605B9"/>
    <w:rsid w:val="009959E7"/>
    <w:rsid w:val="00A31D7A"/>
    <w:rsid w:val="00AE0F59"/>
    <w:rsid w:val="00DE68B9"/>
    <w:rsid w:val="00FD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8027"/>
  <w15:chartTrackingRefBased/>
  <w15:docId w15:val="{128BCC50-0E22-489C-9AFC-CFCAB82F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59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9E7"/>
    <w:pPr>
      <w:ind w:left="720"/>
      <w:contextualSpacing/>
    </w:pPr>
  </w:style>
  <w:style w:type="character" w:styleId="Emphasis">
    <w:name w:val="Emphasis"/>
    <w:basedOn w:val="DefaultParagraphFont"/>
    <w:uiPriority w:val="20"/>
    <w:qFormat/>
    <w:rsid w:val="009959E7"/>
    <w:rPr>
      <w:i/>
      <w:iCs/>
    </w:rPr>
  </w:style>
  <w:style w:type="paragraph" w:customStyle="1" w:styleId="xmsonormal">
    <w:name w:val="x_msonormal"/>
    <w:basedOn w:val="Normal"/>
    <w:rsid w:val="009959E7"/>
    <w:pPr>
      <w:spacing w:after="0" w:line="240" w:lineRule="auto"/>
    </w:pPr>
    <w:rPr>
      <w:rFonts w:ascii="Calibri" w:hAnsi="Calibri" w:cs="Calibri"/>
    </w:rPr>
  </w:style>
  <w:style w:type="character" w:styleId="FootnoteReference">
    <w:name w:val="footnote reference"/>
    <w:basedOn w:val="DefaultParagraphFont"/>
    <w:uiPriority w:val="99"/>
    <w:semiHidden/>
    <w:unhideWhenUsed/>
    <w:rsid w:val="009959E7"/>
    <w:rPr>
      <w:vertAlign w:val="superscript"/>
    </w:rPr>
  </w:style>
  <w:style w:type="paragraph" w:styleId="FootnoteText">
    <w:name w:val="footnote text"/>
    <w:basedOn w:val="Normal"/>
    <w:link w:val="FootnoteTextChar"/>
    <w:uiPriority w:val="99"/>
    <w:semiHidden/>
    <w:unhideWhenUsed/>
    <w:rsid w:val="00995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9E7"/>
    <w:rPr>
      <w:sz w:val="20"/>
      <w:szCs w:val="20"/>
    </w:rPr>
  </w:style>
  <w:style w:type="character" w:styleId="Hyperlink">
    <w:name w:val="Hyperlink"/>
    <w:basedOn w:val="DefaultParagraphFont"/>
    <w:uiPriority w:val="99"/>
    <w:unhideWhenUsed/>
    <w:rsid w:val="009959E7"/>
    <w:rPr>
      <w:color w:val="0563C1" w:themeColor="hyperlink"/>
      <w:u w:val="single"/>
    </w:rPr>
  </w:style>
  <w:style w:type="character" w:customStyle="1" w:styleId="Heading1Char">
    <w:name w:val="Heading 1 Char"/>
    <w:basedOn w:val="DefaultParagraphFont"/>
    <w:link w:val="Heading1"/>
    <w:uiPriority w:val="9"/>
    <w:rsid w:val="009959E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95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9E7"/>
  </w:style>
  <w:style w:type="paragraph" w:styleId="Footer">
    <w:name w:val="footer"/>
    <w:basedOn w:val="Normal"/>
    <w:link w:val="FooterChar"/>
    <w:uiPriority w:val="99"/>
    <w:unhideWhenUsed/>
    <w:rsid w:val="00995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9E7"/>
  </w:style>
  <w:style w:type="character" w:styleId="CommentReference">
    <w:name w:val="annotation reference"/>
    <w:basedOn w:val="DefaultParagraphFont"/>
    <w:uiPriority w:val="99"/>
    <w:semiHidden/>
    <w:unhideWhenUsed/>
    <w:rsid w:val="00760BED"/>
    <w:rPr>
      <w:sz w:val="16"/>
      <w:szCs w:val="16"/>
    </w:rPr>
  </w:style>
  <w:style w:type="paragraph" w:styleId="CommentText">
    <w:name w:val="annotation text"/>
    <w:basedOn w:val="Normal"/>
    <w:link w:val="CommentTextChar"/>
    <w:uiPriority w:val="99"/>
    <w:semiHidden/>
    <w:unhideWhenUsed/>
    <w:rsid w:val="00760BED"/>
    <w:pPr>
      <w:spacing w:line="240" w:lineRule="auto"/>
    </w:pPr>
    <w:rPr>
      <w:sz w:val="20"/>
      <w:szCs w:val="20"/>
    </w:rPr>
  </w:style>
  <w:style w:type="character" w:customStyle="1" w:styleId="CommentTextChar">
    <w:name w:val="Comment Text Char"/>
    <w:basedOn w:val="DefaultParagraphFont"/>
    <w:link w:val="CommentText"/>
    <w:uiPriority w:val="99"/>
    <w:semiHidden/>
    <w:rsid w:val="00760BED"/>
    <w:rPr>
      <w:sz w:val="20"/>
      <w:szCs w:val="20"/>
    </w:rPr>
  </w:style>
  <w:style w:type="paragraph" w:styleId="CommentSubject">
    <w:name w:val="annotation subject"/>
    <w:basedOn w:val="CommentText"/>
    <w:next w:val="CommentText"/>
    <w:link w:val="CommentSubjectChar"/>
    <w:uiPriority w:val="99"/>
    <w:semiHidden/>
    <w:unhideWhenUsed/>
    <w:rsid w:val="00760BED"/>
    <w:rPr>
      <w:b/>
      <w:bCs/>
    </w:rPr>
  </w:style>
  <w:style w:type="character" w:customStyle="1" w:styleId="CommentSubjectChar">
    <w:name w:val="Comment Subject Char"/>
    <w:basedOn w:val="CommentTextChar"/>
    <w:link w:val="CommentSubject"/>
    <w:uiPriority w:val="99"/>
    <w:semiHidden/>
    <w:rsid w:val="00760BED"/>
    <w:rPr>
      <w:b/>
      <w:bCs/>
      <w:sz w:val="20"/>
      <w:szCs w:val="20"/>
    </w:rPr>
  </w:style>
  <w:style w:type="character" w:styleId="UnresolvedMention">
    <w:name w:val="Unresolved Mention"/>
    <w:basedOn w:val="DefaultParagraphFont"/>
    <w:uiPriority w:val="99"/>
    <w:semiHidden/>
    <w:unhideWhenUsed/>
    <w:rsid w:val="00FD4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khn.org/news/article/anthem-united-major-insurers-behind-on-payments-billions-owed-hospitals-doctors-covid/" TargetMode="External"/><Relationship Id="rId1" Type="http://schemas.openxmlformats.org/officeDocument/2006/relationships/hyperlink" Target="https://www.regulations.gov/commenton/CMS-2021-0147-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71DA30D78E6449BC7CDF7DE1549529" ma:contentTypeVersion="4" ma:contentTypeDescription="Create a new document." ma:contentTypeScope="" ma:versionID="66cd2ff326a3ae27aafbb1792b145156">
  <xsd:schema xmlns:xsd="http://www.w3.org/2001/XMLSchema" xmlns:xs="http://www.w3.org/2001/XMLSchema" xmlns:p="http://schemas.microsoft.com/office/2006/metadata/properties" xmlns:ns2="c7e601ea-b42e-4b48-8bc2-7564c1c24e76" targetNamespace="http://schemas.microsoft.com/office/2006/metadata/properties" ma:root="true" ma:fieldsID="b69d3d0634f4afe931aeeea508fbded1" ns2:_="">
    <xsd:import namespace="c7e601ea-b42e-4b48-8bc2-7564c1c24e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601ea-b42e-4b48-8bc2-7564c1c24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6388D-D48E-4625-BF2E-F7F899EDBDA3}">
  <ds:schemaRefs>
    <ds:schemaRef ds:uri="http://schemas.microsoft.com/sharepoint/v3/contenttype/forms"/>
  </ds:schemaRefs>
</ds:datastoreItem>
</file>

<file path=customXml/itemProps2.xml><?xml version="1.0" encoding="utf-8"?>
<ds:datastoreItem xmlns:ds="http://schemas.openxmlformats.org/officeDocument/2006/customXml" ds:itemID="{6ABBF4B5-A1DF-4B7E-BC8E-906773C4E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601ea-b42e-4b48-8bc2-7564c1c24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BC6C4-6065-426B-9A0B-1984450B4F6E}">
  <ds:schemaRefs>
    <ds:schemaRef ds:uri="http://schemas.openxmlformats.org/officeDocument/2006/bibliography"/>
  </ds:schemaRefs>
</ds:datastoreItem>
</file>

<file path=customXml/itemProps4.xml><?xml version="1.0" encoding="utf-8"?>
<ds:datastoreItem xmlns:ds="http://schemas.openxmlformats.org/officeDocument/2006/customXml" ds:itemID="{628953F0-966C-4612-B97A-786854632424}">
  <ds:schemaRef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c7e601ea-b42e-4b48-8bc2-7564c1c24e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Flanigan</dc:creator>
  <cp:keywords/>
  <dc:description/>
  <cp:lastModifiedBy>Samantha Timpone</cp:lastModifiedBy>
  <cp:revision>2</cp:revision>
  <dcterms:created xsi:type="dcterms:W3CDTF">2021-10-26T00:02:00Z</dcterms:created>
  <dcterms:modified xsi:type="dcterms:W3CDTF">2021-10-26T00:02:00Z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0x010100DF71DA30D78E6449BC7CDF7DE1549529</vt:lpwstr>
  </property>
</Properties>
</file>